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82140" w14:textId="77777777" w:rsidR="008C7361" w:rsidRDefault="00CA168B">
      <w:pPr>
        <w:pStyle w:val="Heading1"/>
        <w:spacing w:before="19"/>
        <w:ind w:left="1242"/>
      </w:pPr>
      <w:r>
        <w:t>NEWCASTLE 85+ STUDY DATA GUARDIANS GROUP</w:t>
      </w:r>
    </w:p>
    <w:p w14:paraId="05906135" w14:textId="77777777" w:rsidR="008C7361" w:rsidRDefault="00CA168B">
      <w:pPr>
        <w:ind w:left="1241" w:right="1257"/>
        <w:jc w:val="center"/>
        <w:rPr>
          <w:b/>
          <w:sz w:val="32"/>
        </w:rPr>
      </w:pPr>
      <w:r>
        <w:rPr>
          <w:b/>
          <w:sz w:val="32"/>
        </w:rPr>
        <w:t>Terms of reference</w:t>
      </w:r>
    </w:p>
    <w:p w14:paraId="0EEDD046" w14:textId="77777777" w:rsidR="008C7361" w:rsidRDefault="00CA168B">
      <w:pPr>
        <w:pStyle w:val="BodyText"/>
        <w:spacing w:before="4"/>
        <w:rPr>
          <w:b/>
        </w:rPr>
      </w:pPr>
      <w:r>
        <w:rPr>
          <w:noProof/>
          <w:lang w:val="en-GB" w:eastAsia="en-GB"/>
        </w:rPr>
        <w:drawing>
          <wp:anchor distT="0" distB="0" distL="0" distR="0" simplePos="0" relativeHeight="251658240" behindDoc="0" locked="0" layoutInCell="1" allowOverlap="1" wp14:anchorId="5C5C6957" wp14:editId="6042273D">
            <wp:simplePos x="0" y="0"/>
            <wp:positionH relativeFrom="page">
              <wp:posOffset>2996183</wp:posOffset>
            </wp:positionH>
            <wp:positionV relativeFrom="paragraph">
              <wp:posOffset>244464</wp:posOffset>
            </wp:positionV>
            <wp:extent cx="1566671" cy="123748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566671" cy="1237488"/>
                    </a:xfrm>
                    <a:prstGeom prst="rect">
                      <a:avLst/>
                    </a:prstGeom>
                  </pic:spPr>
                </pic:pic>
              </a:graphicData>
            </a:graphic>
          </wp:anchor>
        </w:drawing>
      </w:r>
    </w:p>
    <w:p w14:paraId="545BD2BD" w14:textId="77777777" w:rsidR="008C7361" w:rsidRDefault="008C7361">
      <w:pPr>
        <w:pStyle w:val="BodyText"/>
        <w:rPr>
          <w:b/>
          <w:sz w:val="26"/>
        </w:rPr>
      </w:pPr>
    </w:p>
    <w:p w14:paraId="61B0772C" w14:textId="77777777" w:rsidR="008C7361" w:rsidRDefault="00CA168B">
      <w:pPr>
        <w:ind w:left="100" w:right="116" w:hanging="1"/>
        <w:jc w:val="both"/>
        <w:rPr>
          <w:b/>
          <w:sz w:val="28"/>
        </w:rPr>
      </w:pPr>
      <w:r>
        <w:rPr>
          <w:sz w:val="28"/>
        </w:rPr>
        <w:t>The Newcastle 85+ Data Guardians Group (DGG) has been constituted to safeguard the integrity and promote maximum potential of the Newcastle 85+ study</w:t>
      </w:r>
      <w:r>
        <w:rPr>
          <w:spacing w:val="-10"/>
          <w:sz w:val="28"/>
        </w:rPr>
        <w:t xml:space="preserve"> </w:t>
      </w:r>
      <w:r>
        <w:rPr>
          <w:sz w:val="28"/>
        </w:rPr>
        <w:t>data.</w:t>
      </w:r>
      <w:r>
        <w:rPr>
          <w:spacing w:val="-10"/>
          <w:sz w:val="28"/>
        </w:rPr>
        <w:t xml:space="preserve"> </w:t>
      </w:r>
      <w:r>
        <w:rPr>
          <w:b/>
          <w:sz w:val="28"/>
        </w:rPr>
        <w:t>The</w:t>
      </w:r>
      <w:r>
        <w:rPr>
          <w:b/>
          <w:spacing w:val="-10"/>
          <w:sz w:val="28"/>
        </w:rPr>
        <w:t xml:space="preserve"> </w:t>
      </w:r>
      <w:r>
        <w:rPr>
          <w:b/>
          <w:sz w:val="28"/>
        </w:rPr>
        <w:t>DDG</w:t>
      </w:r>
      <w:r>
        <w:rPr>
          <w:b/>
          <w:spacing w:val="-10"/>
          <w:sz w:val="28"/>
        </w:rPr>
        <w:t xml:space="preserve"> </w:t>
      </w:r>
      <w:r>
        <w:rPr>
          <w:b/>
          <w:sz w:val="28"/>
        </w:rPr>
        <w:t>acts</w:t>
      </w:r>
      <w:r>
        <w:rPr>
          <w:b/>
          <w:spacing w:val="-10"/>
          <w:sz w:val="28"/>
        </w:rPr>
        <w:t xml:space="preserve"> </w:t>
      </w:r>
      <w:r>
        <w:rPr>
          <w:b/>
          <w:sz w:val="28"/>
        </w:rPr>
        <w:t>independently</w:t>
      </w:r>
      <w:r>
        <w:rPr>
          <w:b/>
          <w:spacing w:val="-11"/>
          <w:sz w:val="28"/>
        </w:rPr>
        <w:t xml:space="preserve"> </w:t>
      </w:r>
      <w:r>
        <w:rPr>
          <w:b/>
          <w:sz w:val="28"/>
        </w:rPr>
        <w:t>from</w:t>
      </w:r>
      <w:r>
        <w:rPr>
          <w:b/>
          <w:spacing w:val="-9"/>
          <w:sz w:val="28"/>
        </w:rPr>
        <w:t xml:space="preserve"> </w:t>
      </w:r>
      <w:r>
        <w:rPr>
          <w:b/>
          <w:sz w:val="28"/>
        </w:rPr>
        <w:t>the</w:t>
      </w:r>
      <w:r>
        <w:rPr>
          <w:b/>
          <w:spacing w:val="-10"/>
          <w:sz w:val="28"/>
        </w:rPr>
        <w:t xml:space="preserve"> </w:t>
      </w:r>
      <w:r>
        <w:rPr>
          <w:b/>
          <w:sz w:val="28"/>
        </w:rPr>
        <w:t>current</w:t>
      </w:r>
      <w:r>
        <w:rPr>
          <w:b/>
          <w:spacing w:val="-10"/>
          <w:sz w:val="28"/>
        </w:rPr>
        <w:t xml:space="preserve"> </w:t>
      </w:r>
      <w:r>
        <w:rPr>
          <w:b/>
          <w:sz w:val="28"/>
        </w:rPr>
        <w:t>Newcastle</w:t>
      </w:r>
      <w:r>
        <w:rPr>
          <w:b/>
          <w:spacing w:val="-10"/>
          <w:sz w:val="28"/>
        </w:rPr>
        <w:t xml:space="preserve"> </w:t>
      </w:r>
      <w:r>
        <w:rPr>
          <w:b/>
          <w:sz w:val="28"/>
        </w:rPr>
        <w:t>85+</w:t>
      </w:r>
      <w:r>
        <w:rPr>
          <w:b/>
          <w:spacing w:val="-10"/>
          <w:sz w:val="28"/>
        </w:rPr>
        <w:t xml:space="preserve"> </w:t>
      </w:r>
      <w:r>
        <w:rPr>
          <w:b/>
          <w:sz w:val="28"/>
        </w:rPr>
        <w:t>study management</w:t>
      </w:r>
      <w:r>
        <w:rPr>
          <w:b/>
          <w:spacing w:val="-10"/>
          <w:sz w:val="28"/>
        </w:rPr>
        <w:t xml:space="preserve"> </w:t>
      </w:r>
      <w:r>
        <w:rPr>
          <w:b/>
          <w:sz w:val="28"/>
        </w:rPr>
        <w:t>team.</w:t>
      </w:r>
    </w:p>
    <w:p w14:paraId="49D8BD02" w14:textId="77777777" w:rsidR="008C7361" w:rsidRDefault="008C7361">
      <w:pPr>
        <w:pStyle w:val="BodyText"/>
        <w:rPr>
          <w:b/>
        </w:rPr>
      </w:pPr>
    </w:p>
    <w:p w14:paraId="1AD7D064" w14:textId="77777777" w:rsidR="008C7361" w:rsidRDefault="008C7361">
      <w:pPr>
        <w:pStyle w:val="BodyText"/>
        <w:spacing w:before="11"/>
        <w:rPr>
          <w:b/>
          <w:sz w:val="27"/>
        </w:rPr>
      </w:pPr>
    </w:p>
    <w:p w14:paraId="64625DEC" w14:textId="77777777" w:rsidR="008C7361" w:rsidRDefault="00CA168B">
      <w:pPr>
        <w:pStyle w:val="Heading2"/>
      </w:pPr>
      <w:r>
        <w:t>Constitution</w:t>
      </w:r>
    </w:p>
    <w:p w14:paraId="2CBA1F85" w14:textId="77777777" w:rsidR="008C7361" w:rsidRDefault="008C7361">
      <w:pPr>
        <w:pStyle w:val="BodyText"/>
        <w:rPr>
          <w:b/>
        </w:rPr>
      </w:pPr>
    </w:p>
    <w:p w14:paraId="397815F3" w14:textId="77777777" w:rsidR="000E0EE0" w:rsidRDefault="00CA168B">
      <w:pPr>
        <w:pStyle w:val="BodyText"/>
        <w:ind w:left="819" w:right="4794" w:hanging="720"/>
      </w:pPr>
      <w:r>
        <w:t xml:space="preserve">The DGG currently comprises of: </w:t>
      </w:r>
    </w:p>
    <w:p w14:paraId="3DC4627A" w14:textId="77777777" w:rsidR="000E0EE0" w:rsidRDefault="000E0EE0">
      <w:pPr>
        <w:pStyle w:val="BodyText"/>
        <w:ind w:left="819" w:right="4794" w:hanging="720"/>
      </w:pPr>
    </w:p>
    <w:p w14:paraId="2C7AF3C5" w14:textId="0A06D504" w:rsidR="000E0EE0" w:rsidRDefault="00CA168B" w:rsidP="000E0EE0">
      <w:pPr>
        <w:pStyle w:val="BodyText"/>
        <w:ind w:left="819" w:right="4794" w:hanging="99"/>
      </w:pPr>
      <w:r>
        <w:t xml:space="preserve">Dr Andrew Kingston </w:t>
      </w:r>
      <w:r w:rsidR="000E0EE0">
        <w:t>(Chair)</w:t>
      </w:r>
    </w:p>
    <w:p w14:paraId="79364D85" w14:textId="4E6A66D0" w:rsidR="000E0EE0" w:rsidRDefault="000E0EE0" w:rsidP="000E0EE0">
      <w:pPr>
        <w:pStyle w:val="BodyText"/>
        <w:ind w:left="819" w:right="4794" w:hanging="99"/>
      </w:pPr>
      <w:r>
        <w:t>Professor Carol Jagger</w:t>
      </w:r>
    </w:p>
    <w:p w14:paraId="3E60456F" w14:textId="77777777" w:rsidR="000E0EE0" w:rsidRDefault="00CA168B" w:rsidP="000E0EE0">
      <w:pPr>
        <w:pStyle w:val="BodyText"/>
        <w:ind w:left="819" w:right="4794" w:hanging="99"/>
      </w:pPr>
      <w:r>
        <w:t xml:space="preserve">Professor Louise Robinson </w:t>
      </w:r>
    </w:p>
    <w:p w14:paraId="35887A5D" w14:textId="03E68A9C" w:rsidR="008C7361" w:rsidRDefault="00CA168B" w:rsidP="000E0EE0">
      <w:pPr>
        <w:pStyle w:val="BodyText"/>
        <w:ind w:left="819" w:right="4794" w:hanging="99"/>
      </w:pPr>
      <w:r>
        <w:t>Dr Carmen Martin‐Ruiz</w:t>
      </w:r>
    </w:p>
    <w:p w14:paraId="4FCB1EEC" w14:textId="77777777" w:rsidR="008C7361" w:rsidRDefault="008C7361">
      <w:pPr>
        <w:pStyle w:val="BodyText"/>
        <w:spacing w:before="1"/>
      </w:pPr>
    </w:p>
    <w:p w14:paraId="3E6E151B" w14:textId="77777777" w:rsidR="008C7361" w:rsidRDefault="00CA168B">
      <w:pPr>
        <w:pStyle w:val="BodyText"/>
        <w:ind w:left="100" w:right="114" w:hanging="1"/>
        <w:jc w:val="both"/>
      </w:pPr>
      <w:r>
        <w:t>Any member wishing to resign from the group should notify the Chair and Secretary. New members shall be appointed by majority decision of the group, with the Chair having the deciding vote in case of a tie.</w:t>
      </w:r>
    </w:p>
    <w:p w14:paraId="202C90B1" w14:textId="77777777" w:rsidR="008C7361" w:rsidRDefault="008C7361">
      <w:pPr>
        <w:pStyle w:val="BodyText"/>
        <w:spacing w:before="12"/>
        <w:rPr>
          <w:sz w:val="27"/>
        </w:rPr>
      </w:pPr>
    </w:p>
    <w:p w14:paraId="68B78EA5" w14:textId="77777777" w:rsidR="008C7361" w:rsidRDefault="00CA168B">
      <w:pPr>
        <w:pStyle w:val="Heading2"/>
      </w:pPr>
      <w:r>
        <w:t>Terms of reference</w:t>
      </w:r>
    </w:p>
    <w:p w14:paraId="64E8408F" w14:textId="77777777" w:rsidR="008C7361" w:rsidRDefault="008C7361">
      <w:pPr>
        <w:pStyle w:val="BodyText"/>
        <w:rPr>
          <w:b/>
        </w:rPr>
      </w:pPr>
    </w:p>
    <w:p w14:paraId="3D018803" w14:textId="77777777" w:rsidR="008C7361" w:rsidRDefault="00CA168B">
      <w:pPr>
        <w:pStyle w:val="BodyText"/>
        <w:ind w:left="100"/>
        <w:jc w:val="both"/>
      </w:pPr>
      <w:r>
        <w:t>The terms of reference of the DGG are as follows:</w:t>
      </w:r>
    </w:p>
    <w:p w14:paraId="7ECBC1AA" w14:textId="77777777" w:rsidR="008C7361" w:rsidRDefault="00CA168B">
      <w:pPr>
        <w:pStyle w:val="ListParagraph"/>
        <w:numPr>
          <w:ilvl w:val="0"/>
          <w:numId w:val="1"/>
        </w:numPr>
        <w:tabs>
          <w:tab w:val="left" w:pos="820"/>
          <w:tab w:val="left" w:pos="821"/>
        </w:tabs>
        <w:spacing w:line="357" w:lineRule="exact"/>
        <w:ind w:hanging="360"/>
        <w:rPr>
          <w:sz w:val="28"/>
        </w:rPr>
      </w:pPr>
      <w:r>
        <w:rPr>
          <w:sz w:val="28"/>
        </w:rPr>
        <w:t>To consider and approve requests for data from the Newcastle 85+</w:t>
      </w:r>
      <w:r>
        <w:rPr>
          <w:spacing w:val="-26"/>
          <w:sz w:val="28"/>
        </w:rPr>
        <w:t xml:space="preserve"> </w:t>
      </w:r>
      <w:r>
        <w:rPr>
          <w:sz w:val="28"/>
        </w:rPr>
        <w:t>study</w:t>
      </w:r>
    </w:p>
    <w:p w14:paraId="69D18A25" w14:textId="77777777" w:rsidR="008C7361" w:rsidRDefault="00CA168B">
      <w:pPr>
        <w:pStyle w:val="ListParagraph"/>
        <w:numPr>
          <w:ilvl w:val="0"/>
          <w:numId w:val="1"/>
        </w:numPr>
        <w:tabs>
          <w:tab w:val="left" w:pos="820"/>
          <w:tab w:val="left" w:pos="821"/>
        </w:tabs>
        <w:ind w:right="118" w:hanging="360"/>
        <w:rPr>
          <w:sz w:val="28"/>
        </w:rPr>
      </w:pPr>
      <w:r>
        <w:rPr>
          <w:sz w:val="28"/>
        </w:rPr>
        <w:t>To consider and approve applications for funding that include analysis of the Newcastle 85+ study data (prior to</w:t>
      </w:r>
      <w:r>
        <w:rPr>
          <w:spacing w:val="-16"/>
          <w:sz w:val="28"/>
        </w:rPr>
        <w:t xml:space="preserve"> </w:t>
      </w:r>
      <w:r>
        <w:rPr>
          <w:sz w:val="28"/>
        </w:rPr>
        <w:t>submission)</w:t>
      </w:r>
    </w:p>
    <w:p w14:paraId="26ADA328" w14:textId="77777777" w:rsidR="008C7361" w:rsidRDefault="00CA168B">
      <w:pPr>
        <w:pStyle w:val="ListParagraph"/>
        <w:numPr>
          <w:ilvl w:val="0"/>
          <w:numId w:val="1"/>
        </w:numPr>
        <w:tabs>
          <w:tab w:val="left" w:pos="820"/>
          <w:tab w:val="left" w:pos="821"/>
        </w:tabs>
        <w:spacing w:before="1"/>
        <w:ind w:left="819" w:right="116" w:hanging="359"/>
        <w:rPr>
          <w:sz w:val="28"/>
        </w:rPr>
      </w:pPr>
      <w:r>
        <w:rPr>
          <w:sz w:val="28"/>
        </w:rPr>
        <w:t>To</w:t>
      </w:r>
      <w:r>
        <w:rPr>
          <w:spacing w:val="-20"/>
          <w:sz w:val="28"/>
        </w:rPr>
        <w:t xml:space="preserve"> </w:t>
      </w:r>
      <w:r>
        <w:rPr>
          <w:sz w:val="28"/>
        </w:rPr>
        <w:t>approve</w:t>
      </w:r>
      <w:r>
        <w:rPr>
          <w:spacing w:val="-20"/>
          <w:sz w:val="28"/>
        </w:rPr>
        <w:t xml:space="preserve"> </w:t>
      </w:r>
      <w:r>
        <w:rPr>
          <w:sz w:val="28"/>
        </w:rPr>
        <w:t>final</w:t>
      </w:r>
      <w:r>
        <w:rPr>
          <w:spacing w:val="-20"/>
          <w:sz w:val="28"/>
        </w:rPr>
        <w:t xml:space="preserve"> </w:t>
      </w:r>
      <w:r>
        <w:rPr>
          <w:sz w:val="28"/>
        </w:rPr>
        <w:t>versions</w:t>
      </w:r>
      <w:r>
        <w:rPr>
          <w:spacing w:val="-20"/>
          <w:sz w:val="28"/>
        </w:rPr>
        <w:t xml:space="preserve"> </w:t>
      </w:r>
      <w:r>
        <w:rPr>
          <w:sz w:val="28"/>
        </w:rPr>
        <w:t>of</w:t>
      </w:r>
      <w:r>
        <w:rPr>
          <w:spacing w:val="-20"/>
          <w:sz w:val="28"/>
        </w:rPr>
        <w:t xml:space="preserve"> </w:t>
      </w:r>
      <w:r>
        <w:rPr>
          <w:sz w:val="28"/>
        </w:rPr>
        <w:t>original</w:t>
      </w:r>
      <w:r>
        <w:rPr>
          <w:spacing w:val="-19"/>
          <w:sz w:val="28"/>
        </w:rPr>
        <w:t xml:space="preserve"> </w:t>
      </w:r>
      <w:r>
        <w:rPr>
          <w:sz w:val="28"/>
        </w:rPr>
        <w:t>publications</w:t>
      </w:r>
      <w:r>
        <w:rPr>
          <w:spacing w:val="-18"/>
          <w:sz w:val="28"/>
        </w:rPr>
        <w:t xml:space="preserve"> </w:t>
      </w:r>
      <w:r>
        <w:rPr>
          <w:sz w:val="28"/>
        </w:rPr>
        <w:t>and</w:t>
      </w:r>
      <w:r>
        <w:rPr>
          <w:spacing w:val="-20"/>
          <w:sz w:val="28"/>
        </w:rPr>
        <w:t xml:space="preserve"> </w:t>
      </w:r>
      <w:r>
        <w:rPr>
          <w:sz w:val="28"/>
        </w:rPr>
        <w:t>conference</w:t>
      </w:r>
      <w:r>
        <w:rPr>
          <w:spacing w:val="-20"/>
          <w:sz w:val="28"/>
        </w:rPr>
        <w:t xml:space="preserve"> </w:t>
      </w:r>
      <w:r>
        <w:rPr>
          <w:sz w:val="28"/>
        </w:rPr>
        <w:t>abstracts using the Newcastle 85+ study</w:t>
      </w:r>
      <w:r>
        <w:rPr>
          <w:spacing w:val="-15"/>
          <w:sz w:val="28"/>
        </w:rPr>
        <w:t xml:space="preserve"> </w:t>
      </w:r>
      <w:r>
        <w:rPr>
          <w:sz w:val="28"/>
        </w:rPr>
        <w:t>data</w:t>
      </w:r>
    </w:p>
    <w:p w14:paraId="6E58F6B7" w14:textId="77777777" w:rsidR="008C7361" w:rsidRDefault="00CA168B">
      <w:pPr>
        <w:pStyle w:val="ListParagraph"/>
        <w:numPr>
          <w:ilvl w:val="0"/>
          <w:numId w:val="1"/>
        </w:numPr>
        <w:tabs>
          <w:tab w:val="left" w:pos="819"/>
          <w:tab w:val="left" w:pos="821"/>
        </w:tabs>
        <w:spacing w:line="357" w:lineRule="exact"/>
        <w:rPr>
          <w:sz w:val="28"/>
        </w:rPr>
      </w:pPr>
      <w:r>
        <w:rPr>
          <w:sz w:val="28"/>
        </w:rPr>
        <w:t>To act as final arbitrators on authorship of</w:t>
      </w:r>
      <w:r>
        <w:rPr>
          <w:spacing w:val="-28"/>
          <w:sz w:val="28"/>
        </w:rPr>
        <w:t xml:space="preserve"> </w:t>
      </w:r>
      <w:r>
        <w:rPr>
          <w:sz w:val="28"/>
        </w:rPr>
        <w:t>publications</w:t>
      </w:r>
    </w:p>
    <w:p w14:paraId="65FDCBBB" w14:textId="77777777" w:rsidR="008C7361" w:rsidRDefault="00CA168B">
      <w:pPr>
        <w:pStyle w:val="ListParagraph"/>
        <w:numPr>
          <w:ilvl w:val="0"/>
          <w:numId w:val="1"/>
        </w:numPr>
        <w:tabs>
          <w:tab w:val="left" w:pos="819"/>
          <w:tab w:val="left" w:pos="821"/>
        </w:tabs>
        <w:ind w:hanging="360"/>
        <w:rPr>
          <w:sz w:val="28"/>
        </w:rPr>
      </w:pPr>
      <w:r>
        <w:rPr>
          <w:sz w:val="28"/>
        </w:rPr>
        <w:t>To ensure the integrity of the study is</w:t>
      </w:r>
      <w:r>
        <w:rPr>
          <w:spacing w:val="-22"/>
          <w:sz w:val="28"/>
        </w:rPr>
        <w:t xml:space="preserve"> </w:t>
      </w:r>
      <w:r>
        <w:rPr>
          <w:sz w:val="28"/>
        </w:rPr>
        <w:t>upheld</w:t>
      </w:r>
    </w:p>
    <w:p w14:paraId="547DAB82" w14:textId="77777777" w:rsidR="008C7361" w:rsidRDefault="008C7361">
      <w:pPr>
        <w:rPr>
          <w:sz w:val="28"/>
        </w:rPr>
        <w:sectPr w:rsidR="008C7361">
          <w:type w:val="continuous"/>
          <w:pgSz w:w="11910" w:h="16840"/>
          <w:pgMar w:top="1420" w:right="1320" w:bottom="280" w:left="1340" w:header="720" w:footer="720" w:gutter="0"/>
          <w:cols w:space="720"/>
        </w:sectPr>
      </w:pPr>
    </w:p>
    <w:p w14:paraId="74298D9D" w14:textId="77777777" w:rsidR="008C7361" w:rsidRDefault="008C7361">
      <w:pPr>
        <w:pStyle w:val="BodyText"/>
        <w:rPr>
          <w:sz w:val="20"/>
        </w:rPr>
      </w:pPr>
    </w:p>
    <w:p w14:paraId="792AB5BF" w14:textId="77777777" w:rsidR="008C7361" w:rsidRDefault="008C7361">
      <w:pPr>
        <w:pStyle w:val="BodyText"/>
        <w:rPr>
          <w:sz w:val="20"/>
        </w:rPr>
      </w:pPr>
    </w:p>
    <w:p w14:paraId="768B4802" w14:textId="77777777" w:rsidR="008C7361" w:rsidRDefault="008C7361">
      <w:pPr>
        <w:pStyle w:val="BodyText"/>
        <w:rPr>
          <w:sz w:val="20"/>
        </w:rPr>
      </w:pPr>
    </w:p>
    <w:p w14:paraId="58567D05" w14:textId="77777777" w:rsidR="008C7361" w:rsidRDefault="008C7361">
      <w:pPr>
        <w:pStyle w:val="BodyText"/>
        <w:rPr>
          <w:sz w:val="20"/>
        </w:rPr>
      </w:pPr>
    </w:p>
    <w:p w14:paraId="0907123F" w14:textId="77777777" w:rsidR="008C7361" w:rsidRDefault="008C7361">
      <w:pPr>
        <w:pStyle w:val="BodyText"/>
        <w:rPr>
          <w:sz w:val="20"/>
        </w:rPr>
      </w:pPr>
    </w:p>
    <w:p w14:paraId="6F539DCD" w14:textId="77777777" w:rsidR="008C7361" w:rsidRDefault="008C7361">
      <w:pPr>
        <w:pStyle w:val="BodyText"/>
        <w:spacing w:before="2"/>
        <w:rPr>
          <w:sz w:val="23"/>
        </w:rPr>
      </w:pPr>
    </w:p>
    <w:p w14:paraId="75D9B409" w14:textId="77777777" w:rsidR="008C7361" w:rsidRDefault="00CA168B">
      <w:pPr>
        <w:pStyle w:val="Heading2"/>
        <w:spacing w:before="44"/>
        <w:ind w:left="120"/>
      </w:pPr>
      <w:r>
        <w:t>Frequency and conduct of meetings</w:t>
      </w:r>
    </w:p>
    <w:p w14:paraId="3BDCB322" w14:textId="77777777" w:rsidR="008C7361" w:rsidRDefault="008C7361">
      <w:pPr>
        <w:pStyle w:val="BodyText"/>
        <w:rPr>
          <w:b/>
        </w:rPr>
      </w:pPr>
    </w:p>
    <w:p w14:paraId="1CD0EE8E" w14:textId="77777777" w:rsidR="008C7361" w:rsidRDefault="00CA168B">
      <w:pPr>
        <w:pStyle w:val="BodyText"/>
        <w:ind w:left="119" w:right="116"/>
        <w:jc w:val="both"/>
      </w:pPr>
      <w:r>
        <w:t>The DGG will meet face to face twice a year. The DGG will (i) review all active data applications and their status (from reports provided) and (ii) review the status of publications arising from data applications.</w:t>
      </w:r>
    </w:p>
    <w:p w14:paraId="165C70D7" w14:textId="77777777" w:rsidR="008C7361" w:rsidRDefault="00CA168B">
      <w:pPr>
        <w:pStyle w:val="BodyText"/>
        <w:ind w:left="119" w:right="116" w:hanging="1"/>
        <w:jc w:val="both"/>
      </w:pPr>
      <w:r>
        <w:t>All business between the face to face meetings will be conducted using e mail, including consideration of data requests, application for funding, review of publications and abstracts. If concerns or disagreements arise a meeting will be convened to resolve these.</w:t>
      </w:r>
    </w:p>
    <w:p w14:paraId="7361A4DF" w14:textId="77777777" w:rsidR="008C7361" w:rsidRDefault="008C7361">
      <w:pPr>
        <w:pStyle w:val="BodyText"/>
        <w:rPr>
          <w:sz w:val="20"/>
        </w:rPr>
      </w:pPr>
    </w:p>
    <w:p w14:paraId="03FEE4C5" w14:textId="77777777" w:rsidR="008C7361" w:rsidRDefault="008C7361">
      <w:pPr>
        <w:pStyle w:val="BodyText"/>
        <w:rPr>
          <w:sz w:val="20"/>
        </w:rPr>
      </w:pPr>
    </w:p>
    <w:p w14:paraId="649B0074" w14:textId="77777777" w:rsidR="008C7361" w:rsidRDefault="008C7361">
      <w:pPr>
        <w:pStyle w:val="BodyText"/>
        <w:spacing w:before="1"/>
        <w:rPr>
          <w:sz w:val="1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08"/>
      </w:tblGrid>
      <w:tr w:rsidR="008C7361" w14:paraId="096172C1" w14:textId="77777777">
        <w:trPr>
          <w:trHeight w:val="340"/>
        </w:trPr>
        <w:tc>
          <w:tcPr>
            <w:tcW w:w="4508" w:type="dxa"/>
          </w:tcPr>
          <w:p w14:paraId="296D4665" w14:textId="77777777" w:rsidR="008C7361" w:rsidRDefault="00CA168B">
            <w:pPr>
              <w:pStyle w:val="TableParagraph"/>
              <w:rPr>
                <w:sz w:val="28"/>
              </w:rPr>
            </w:pPr>
            <w:r>
              <w:rPr>
                <w:sz w:val="28"/>
              </w:rPr>
              <w:t>Approved by</w:t>
            </w:r>
          </w:p>
        </w:tc>
        <w:tc>
          <w:tcPr>
            <w:tcW w:w="4508" w:type="dxa"/>
          </w:tcPr>
          <w:p w14:paraId="60326BE1" w14:textId="77777777" w:rsidR="008C7361" w:rsidRDefault="00CA168B">
            <w:pPr>
              <w:pStyle w:val="TableParagraph"/>
              <w:rPr>
                <w:sz w:val="28"/>
              </w:rPr>
            </w:pPr>
            <w:r>
              <w:rPr>
                <w:sz w:val="28"/>
              </w:rPr>
              <w:t>Data Guardians Group</w:t>
            </w:r>
          </w:p>
        </w:tc>
      </w:tr>
      <w:tr w:rsidR="008C7361" w14:paraId="3EA92485" w14:textId="77777777">
        <w:trPr>
          <w:trHeight w:val="340"/>
        </w:trPr>
        <w:tc>
          <w:tcPr>
            <w:tcW w:w="4508" w:type="dxa"/>
          </w:tcPr>
          <w:p w14:paraId="7A7C0BAF" w14:textId="77777777" w:rsidR="008C7361" w:rsidRDefault="00CA168B">
            <w:pPr>
              <w:pStyle w:val="TableParagraph"/>
              <w:spacing w:line="323" w:lineRule="exact"/>
              <w:ind w:left="102"/>
              <w:rPr>
                <w:sz w:val="28"/>
              </w:rPr>
            </w:pPr>
            <w:r>
              <w:rPr>
                <w:sz w:val="28"/>
              </w:rPr>
              <w:t>Approval date</w:t>
            </w:r>
          </w:p>
        </w:tc>
        <w:tc>
          <w:tcPr>
            <w:tcW w:w="4508" w:type="dxa"/>
          </w:tcPr>
          <w:p w14:paraId="03D933E9" w14:textId="77777777" w:rsidR="008C7361" w:rsidRDefault="00520C48" w:rsidP="00520C48">
            <w:pPr>
              <w:pStyle w:val="TableParagraph"/>
              <w:spacing w:line="323" w:lineRule="exact"/>
              <w:rPr>
                <w:sz w:val="28"/>
              </w:rPr>
            </w:pPr>
            <w:r>
              <w:rPr>
                <w:sz w:val="28"/>
              </w:rPr>
              <w:t>September 2019</w:t>
            </w:r>
          </w:p>
        </w:tc>
      </w:tr>
      <w:tr w:rsidR="008C7361" w14:paraId="26A5ABA9" w14:textId="77777777">
        <w:trPr>
          <w:trHeight w:val="340"/>
        </w:trPr>
        <w:tc>
          <w:tcPr>
            <w:tcW w:w="4508" w:type="dxa"/>
          </w:tcPr>
          <w:p w14:paraId="79EAE8F7" w14:textId="77777777" w:rsidR="008C7361" w:rsidRDefault="00CA168B">
            <w:pPr>
              <w:pStyle w:val="TableParagraph"/>
              <w:ind w:left="102"/>
              <w:rPr>
                <w:sz w:val="28"/>
              </w:rPr>
            </w:pPr>
            <w:r>
              <w:rPr>
                <w:sz w:val="28"/>
              </w:rPr>
              <w:t>Review date</w:t>
            </w:r>
          </w:p>
        </w:tc>
        <w:tc>
          <w:tcPr>
            <w:tcW w:w="4508" w:type="dxa"/>
          </w:tcPr>
          <w:p w14:paraId="43F84617" w14:textId="7D73F405" w:rsidR="008C7361" w:rsidRDefault="000E0EE0" w:rsidP="00520C48">
            <w:pPr>
              <w:pStyle w:val="TableParagraph"/>
              <w:rPr>
                <w:sz w:val="28"/>
              </w:rPr>
            </w:pPr>
            <w:r>
              <w:rPr>
                <w:sz w:val="28"/>
              </w:rPr>
              <w:t>May 2024</w:t>
            </w:r>
          </w:p>
        </w:tc>
      </w:tr>
    </w:tbl>
    <w:p w14:paraId="3CB73AED" w14:textId="77777777" w:rsidR="00CA168B" w:rsidRDefault="00CA168B"/>
    <w:sectPr w:rsidR="00CA168B">
      <w:pgSz w:w="11910" w:h="16840"/>
      <w:pgMar w:top="16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81111"/>
    <w:multiLevelType w:val="hybridMultilevel"/>
    <w:tmpl w:val="C510A41C"/>
    <w:lvl w:ilvl="0" w:tplc="62D01BEE">
      <w:numFmt w:val="bullet"/>
      <w:lvlText w:val=""/>
      <w:lvlJc w:val="left"/>
      <w:pPr>
        <w:ind w:left="820" w:hanging="361"/>
      </w:pPr>
      <w:rPr>
        <w:rFonts w:ascii="Symbol" w:eastAsia="Symbol" w:hAnsi="Symbol" w:cs="Symbol" w:hint="default"/>
        <w:w w:val="99"/>
        <w:sz w:val="28"/>
        <w:szCs w:val="28"/>
      </w:rPr>
    </w:lvl>
    <w:lvl w:ilvl="1" w:tplc="F852E3DE">
      <w:numFmt w:val="bullet"/>
      <w:lvlText w:val="•"/>
      <w:lvlJc w:val="left"/>
      <w:pPr>
        <w:ind w:left="1662" w:hanging="361"/>
      </w:pPr>
      <w:rPr>
        <w:rFonts w:hint="default"/>
      </w:rPr>
    </w:lvl>
    <w:lvl w:ilvl="2" w:tplc="4E86BB66">
      <w:numFmt w:val="bullet"/>
      <w:lvlText w:val="•"/>
      <w:lvlJc w:val="left"/>
      <w:pPr>
        <w:ind w:left="2504" w:hanging="361"/>
      </w:pPr>
      <w:rPr>
        <w:rFonts w:hint="default"/>
      </w:rPr>
    </w:lvl>
    <w:lvl w:ilvl="3" w:tplc="AD0E86B0">
      <w:numFmt w:val="bullet"/>
      <w:lvlText w:val="•"/>
      <w:lvlJc w:val="left"/>
      <w:pPr>
        <w:ind w:left="3347" w:hanging="361"/>
      </w:pPr>
      <w:rPr>
        <w:rFonts w:hint="default"/>
      </w:rPr>
    </w:lvl>
    <w:lvl w:ilvl="4" w:tplc="73E23336">
      <w:numFmt w:val="bullet"/>
      <w:lvlText w:val="•"/>
      <w:lvlJc w:val="left"/>
      <w:pPr>
        <w:ind w:left="4189" w:hanging="361"/>
      </w:pPr>
      <w:rPr>
        <w:rFonts w:hint="default"/>
      </w:rPr>
    </w:lvl>
    <w:lvl w:ilvl="5" w:tplc="FC0CF928">
      <w:numFmt w:val="bullet"/>
      <w:lvlText w:val="•"/>
      <w:lvlJc w:val="left"/>
      <w:pPr>
        <w:ind w:left="5032" w:hanging="361"/>
      </w:pPr>
      <w:rPr>
        <w:rFonts w:hint="default"/>
      </w:rPr>
    </w:lvl>
    <w:lvl w:ilvl="6" w:tplc="03F2B0BA">
      <w:numFmt w:val="bullet"/>
      <w:lvlText w:val="•"/>
      <w:lvlJc w:val="left"/>
      <w:pPr>
        <w:ind w:left="5874" w:hanging="361"/>
      </w:pPr>
      <w:rPr>
        <w:rFonts w:hint="default"/>
      </w:rPr>
    </w:lvl>
    <w:lvl w:ilvl="7" w:tplc="83C8FC4A">
      <w:numFmt w:val="bullet"/>
      <w:lvlText w:val="•"/>
      <w:lvlJc w:val="left"/>
      <w:pPr>
        <w:ind w:left="6717" w:hanging="361"/>
      </w:pPr>
      <w:rPr>
        <w:rFonts w:hint="default"/>
      </w:rPr>
    </w:lvl>
    <w:lvl w:ilvl="8" w:tplc="65B8D038">
      <w:numFmt w:val="bullet"/>
      <w:lvlText w:val="•"/>
      <w:lvlJc w:val="left"/>
      <w:pPr>
        <w:ind w:left="7559" w:hanging="361"/>
      </w:pPr>
      <w:rPr>
        <w:rFonts w:hint="default"/>
      </w:rPr>
    </w:lvl>
  </w:abstractNum>
  <w:num w:numId="1" w16cid:durableId="1939018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8C7361"/>
    <w:rsid w:val="000E0EE0"/>
    <w:rsid w:val="00520C48"/>
    <w:rsid w:val="008C7361"/>
    <w:rsid w:val="00CA1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5972"/>
  <w15:docId w15:val="{873939DB-C6CA-4B77-AA8D-9EFB81BB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241" w:right="1257"/>
      <w:jc w:val="center"/>
      <w:outlineLvl w:val="0"/>
    </w:pPr>
    <w:rPr>
      <w:b/>
      <w:bCs/>
      <w:sz w:val="32"/>
      <w:szCs w:val="32"/>
    </w:rPr>
  </w:style>
  <w:style w:type="paragraph" w:styleId="Heading2">
    <w:name w:val="heading 2"/>
    <w:basedOn w:val="Normal"/>
    <w:uiPriority w:val="1"/>
    <w:qFormat/>
    <w:pPr>
      <w:ind w:left="10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322" w:lineRule="exact"/>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1489</Characters>
  <Application>Microsoft Office Word</Application>
  <DocSecurity>0</DocSecurity>
  <Lines>12</Lines>
  <Paragraphs>3</Paragraphs>
  <ScaleCrop>false</ScaleCrop>
  <Company>Newcastle University</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Newcastle 85+ study DGG terms of reference Nov 2018.docx</dc:title>
  <dc:creator>nrd509</dc:creator>
  <cp:lastModifiedBy>Terry Lisle</cp:lastModifiedBy>
  <cp:revision>3</cp:revision>
  <dcterms:created xsi:type="dcterms:W3CDTF">2019-09-22T19:35:00Z</dcterms:created>
  <dcterms:modified xsi:type="dcterms:W3CDTF">2024-05-07T09:55:00Z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Creator">
    <vt:lpwstr>PScript5.dll Version 5.2.2</vt:lpwstr>
  </property>
  <property fmtid="{D5CDD505-2E9C-101B-9397-08002B2CF9AE}" pid="4" name="LastSaved">
    <vt:filetime>2019-09-22T00:00:00Z</vt:filetime>
  </property>
</Properties>
</file>